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81E5C" w14:textId="77777777" w:rsidR="00C060A5" w:rsidRPr="00EA0F1E" w:rsidRDefault="00F86FBE" w:rsidP="00C060A5">
      <w:pPr>
        <w:adjustRightInd w:val="0"/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EA0F1E">
        <w:rPr>
          <w:rFonts w:ascii="黑体" w:eastAsia="黑体" w:hAnsi="黑体" w:hint="eastAsia"/>
          <w:b/>
          <w:bCs/>
          <w:sz w:val="30"/>
          <w:szCs w:val="30"/>
        </w:rPr>
        <w:t>玉山银行（中国）有限公司</w:t>
      </w:r>
    </w:p>
    <w:p w14:paraId="572AB1BB" w14:textId="2E6BFC12" w:rsidR="00F86FBE" w:rsidRPr="00EA0F1E" w:rsidRDefault="002B7B72" w:rsidP="00C060A5">
      <w:pPr>
        <w:adjustRightInd w:val="0"/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EA0F1E">
        <w:rPr>
          <w:rFonts w:ascii="黑体" w:eastAsia="黑体" w:hAnsi="黑体"/>
          <w:b/>
          <w:bCs/>
          <w:sz w:val="30"/>
          <w:szCs w:val="30"/>
        </w:rPr>
        <w:t>202</w:t>
      </w:r>
      <w:r w:rsidR="001C75E8">
        <w:rPr>
          <w:rFonts w:ascii="黑体" w:eastAsia="黑体" w:hAnsi="黑体" w:hint="eastAsia"/>
          <w:b/>
          <w:bCs/>
          <w:sz w:val="30"/>
          <w:szCs w:val="30"/>
        </w:rPr>
        <w:t>5</w:t>
      </w:r>
      <w:r w:rsidRPr="00EA0F1E">
        <w:rPr>
          <w:rFonts w:ascii="黑体" w:eastAsia="黑体" w:hAnsi="黑体"/>
          <w:b/>
          <w:bCs/>
          <w:sz w:val="30"/>
          <w:szCs w:val="30"/>
        </w:rPr>
        <w:t>年</w:t>
      </w:r>
      <w:r w:rsidRPr="00EA0F1E">
        <w:rPr>
          <w:rFonts w:ascii="黑体" w:eastAsia="黑体" w:hAnsi="黑体" w:hint="eastAsia"/>
          <w:b/>
          <w:bCs/>
          <w:sz w:val="30"/>
          <w:szCs w:val="30"/>
        </w:rPr>
        <w:t>第</w:t>
      </w:r>
      <w:r w:rsidR="000821B7">
        <w:rPr>
          <w:rFonts w:ascii="黑体" w:eastAsia="黑体" w:hAnsi="黑体" w:hint="eastAsia"/>
          <w:b/>
          <w:bCs/>
          <w:sz w:val="30"/>
          <w:szCs w:val="30"/>
        </w:rPr>
        <w:t>三</w:t>
      </w:r>
      <w:r w:rsidRPr="00EA0F1E">
        <w:rPr>
          <w:rFonts w:ascii="黑体" w:eastAsia="黑体" w:hAnsi="黑体"/>
          <w:b/>
          <w:bCs/>
          <w:sz w:val="30"/>
          <w:szCs w:val="30"/>
        </w:rPr>
        <w:t>季度</w:t>
      </w:r>
      <w:r w:rsidR="00C060A5" w:rsidRPr="00EA0F1E">
        <w:rPr>
          <w:rFonts w:ascii="黑体" w:eastAsia="黑体" w:hAnsi="黑体" w:hint="eastAsia"/>
          <w:b/>
          <w:bCs/>
          <w:sz w:val="30"/>
          <w:szCs w:val="30"/>
        </w:rPr>
        <w:t>一般</w:t>
      </w:r>
      <w:r w:rsidRPr="00EA0F1E">
        <w:rPr>
          <w:rFonts w:ascii="黑体" w:eastAsia="黑体" w:hAnsi="黑体"/>
          <w:b/>
          <w:bCs/>
          <w:sz w:val="30"/>
          <w:szCs w:val="30"/>
        </w:rPr>
        <w:t>关联交易信息</w:t>
      </w:r>
      <w:r w:rsidR="004B6DAA">
        <w:rPr>
          <w:rFonts w:ascii="黑体" w:eastAsia="黑体" w:hAnsi="黑体" w:hint="eastAsia"/>
          <w:b/>
          <w:bCs/>
          <w:sz w:val="30"/>
          <w:szCs w:val="30"/>
        </w:rPr>
        <w:t>公告</w:t>
      </w:r>
    </w:p>
    <w:p w14:paraId="2BF31D8C" w14:textId="77777777" w:rsidR="00C060A5" w:rsidRPr="00E75252" w:rsidRDefault="00C060A5" w:rsidP="00C060A5">
      <w:pPr>
        <w:adjustRightInd w:val="0"/>
        <w:snapToGrid w:val="0"/>
        <w:jc w:val="center"/>
        <w:rPr>
          <w:rFonts w:ascii="黑体" w:eastAsia="黑体" w:hAnsi="黑体"/>
          <w:b/>
          <w:bCs/>
          <w:sz w:val="28"/>
          <w:szCs w:val="28"/>
        </w:rPr>
      </w:pPr>
    </w:p>
    <w:p w14:paraId="1BF14880" w14:textId="73139DD8" w:rsidR="005A7DCF" w:rsidRPr="00E75252" w:rsidRDefault="002B7B72" w:rsidP="00C060A5">
      <w:pPr>
        <w:adjustRightInd w:val="0"/>
        <w:snapToGrid w:val="0"/>
        <w:ind w:firstLineChars="200" w:firstLine="480"/>
        <w:rPr>
          <w:rFonts w:ascii="黑体" w:eastAsia="黑体" w:hAnsi="黑体"/>
          <w:sz w:val="24"/>
          <w:szCs w:val="24"/>
        </w:rPr>
      </w:pPr>
      <w:r w:rsidRPr="00E75252">
        <w:rPr>
          <w:rFonts w:ascii="黑体" w:eastAsia="黑体" w:hAnsi="黑体" w:hint="eastAsia"/>
          <w:sz w:val="24"/>
          <w:szCs w:val="24"/>
        </w:rPr>
        <w:t>根据《银行保险机构关联交易管理办法》和玉山银行（中国）有限公司（以下简称“</w:t>
      </w:r>
      <w:r w:rsidR="007E0035">
        <w:rPr>
          <w:rFonts w:ascii="黑体" w:eastAsia="黑体" w:hAnsi="黑体" w:hint="eastAsia"/>
          <w:sz w:val="24"/>
          <w:szCs w:val="24"/>
        </w:rPr>
        <w:t>我</w:t>
      </w:r>
      <w:r w:rsidRPr="00E75252">
        <w:rPr>
          <w:rFonts w:ascii="黑体" w:eastAsia="黑体" w:hAnsi="黑体" w:hint="eastAsia"/>
          <w:sz w:val="24"/>
          <w:szCs w:val="24"/>
        </w:rPr>
        <w:t>行”)《关联交易</w:t>
      </w:r>
      <w:r w:rsidRPr="00E75252">
        <w:rPr>
          <w:rFonts w:ascii="黑体" w:eastAsia="黑体" w:hAnsi="黑体"/>
          <w:sz w:val="24"/>
          <w:szCs w:val="24"/>
        </w:rPr>
        <w:t>管理制度</w:t>
      </w:r>
      <w:r w:rsidRPr="00E75252">
        <w:rPr>
          <w:rFonts w:ascii="黑体" w:eastAsia="黑体" w:hAnsi="黑体" w:hint="eastAsia"/>
          <w:sz w:val="24"/>
          <w:szCs w:val="24"/>
        </w:rPr>
        <w:t>》规定，现将</w:t>
      </w:r>
      <w:r w:rsidR="007E0035">
        <w:rPr>
          <w:rFonts w:ascii="黑体" w:eastAsia="黑体" w:hAnsi="黑体" w:hint="eastAsia"/>
          <w:sz w:val="24"/>
          <w:szCs w:val="24"/>
        </w:rPr>
        <w:t>我行</w:t>
      </w:r>
      <w:r w:rsidRPr="00E75252">
        <w:rPr>
          <w:rFonts w:ascii="黑体" w:eastAsia="黑体" w:hAnsi="黑体" w:hint="eastAsia"/>
          <w:sz w:val="24"/>
          <w:szCs w:val="24"/>
        </w:rPr>
        <w:t>202</w:t>
      </w:r>
      <w:r w:rsidR="001C75E8">
        <w:rPr>
          <w:rFonts w:ascii="黑体" w:eastAsia="黑体" w:hAnsi="黑体"/>
          <w:sz w:val="24"/>
          <w:szCs w:val="24"/>
        </w:rPr>
        <w:t>5</w:t>
      </w:r>
      <w:r w:rsidRPr="00E75252">
        <w:rPr>
          <w:rFonts w:ascii="黑体" w:eastAsia="黑体" w:hAnsi="黑体" w:hint="eastAsia"/>
          <w:sz w:val="24"/>
          <w:szCs w:val="24"/>
        </w:rPr>
        <w:t>年第</w:t>
      </w:r>
      <w:r w:rsidR="000821B7">
        <w:rPr>
          <w:rFonts w:ascii="黑体" w:eastAsia="黑体" w:hAnsi="黑体" w:hint="eastAsia"/>
          <w:b/>
          <w:bCs/>
          <w:sz w:val="24"/>
          <w:szCs w:val="24"/>
        </w:rPr>
        <w:t>三</w:t>
      </w:r>
      <w:r w:rsidRPr="00E75252">
        <w:rPr>
          <w:rFonts w:ascii="黑体" w:eastAsia="黑体" w:hAnsi="黑体" w:hint="eastAsia"/>
          <w:sz w:val="24"/>
          <w:szCs w:val="24"/>
        </w:rPr>
        <w:t>季度</w:t>
      </w:r>
      <w:r w:rsidR="007E0035">
        <w:rPr>
          <w:rFonts w:ascii="黑体" w:eastAsia="黑体" w:hAnsi="黑体" w:hint="eastAsia"/>
          <w:sz w:val="24"/>
          <w:szCs w:val="24"/>
        </w:rPr>
        <w:t>一般</w:t>
      </w:r>
      <w:r w:rsidRPr="00E75252">
        <w:rPr>
          <w:rFonts w:ascii="黑体" w:eastAsia="黑体" w:hAnsi="黑体" w:hint="eastAsia"/>
          <w:sz w:val="24"/>
          <w:szCs w:val="24"/>
        </w:rPr>
        <w:t>关联交易情况披露如下：</w:t>
      </w:r>
    </w:p>
    <w:p w14:paraId="127709C1" w14:textId="0EB8314D" w:rsidR="00A603E0" w:rsidRPr="00E75252" w:rsidRDefault="00A603E0" w:rsidP="00C060A5">
      <w:pPr>
        <w:adjustRightInd w:val="0"/>
        <w:snapToGrid w:val="0"/>
        <w:ind w:firstLineChars="200" w:firstLine="482"/>
        <w:rPr>
          <w:rFonts w:ascii="黑体" w:eastAsia="黑体" w:hAnsi="黑体"/>
          <w:sz w:val="24"/>
          <w:szCs w:val="24"/>
        </w:rPr>
      </w:pPr>
      <w:r w:rsidRPr="00E75252">
        <w:rPr>
          <w:rFonts w:ascii="黑体" w:eastAsia="黑体" w:hAnsi="黑体" w:hint="eastAsia"/>
          <w:b/>
          <w:bCs/>
          <w:sz w:val="24"/>
          <w:szCs w:val="24"/>
        </w:rPr>
        <w:t>一、</w:t>
      </w:r>
      <w:r w:rsidR="007E0035">
        <w:rPr>
          <w:rFonts w:ascii="黑体" w:eastAsia="黑体" w:hAnsi="黑体" w:hint="eastAsia"/>
          <w:b/>
          <w:bCs/>
          <w:sz w:val="24"/>
          <w:szCs w:val="24"/>
        </w:rPr>
        <w:t>一般</w:t>
      </w:r>
      <w:r w:rsidRPr="00E75252">
        <w:rPr>
          <w:rFonts w:ascii="黑体" w:eastAsia="黑体" w:hAnsi="黑体" w:hint="eastAsia"/>
          <w:b/>
          <w:bCs/>
          <w:sz w:val="24"/>
          <w:szCs w:val="24"/>
        </w:rPr>
        <w:t>关联交易</w:t>
      </w:r>
      <w:r w:rsidR="007E0035">
        <w:rPr>
          <w:rFonts w:ascii="黑体" w:eastAsia="黑体" w:hAnsi="黑体" w:hint="eastAsia"/>
          <w:b/>
          <w:bCs/>
          <w:sz w:val="24"/>
          <w:szCs w:val="24"/>
        </w:rPr>
        <w:t>对象及</w:t>
      </w:r>
      <w:r w:rsidR="007E0035">
        <w:rPr>
          <w:rFonts w:ascii="黑体" w:eastAsia="黑体" w:hAnsi="黑体"/>
          <w:b/>
          <w:bCs/>
          <w:sz w:val="24"/>
          <w:szCs w:val="24"/>
        </w:rPr>
        <w:t>类型</w:t>
      </w:r>
    </w:p>
    <w:p w14:paraId="7BBDEDE0" w14:textId="7A0E6ACE" w:rsidR="00A603E0" w:rsidRPr="00E75252" w:rsidRDefault="007E0035" w:rsidP="00C060A5">
      <w:pPr>
        <w:adjustRightInd w:val="0"/>
        <w:snapToGrid w:val="0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202</w:t>
      </w:r>
      <w:r w:rsidR="001C75E8">
        <w:rPr>
          <w:rFonts w:ascii="黑体" w:eastAsia="黑体" w:hAnsi="黑体"/>
          <w:sz w:val="24"/>
          <w:szCs w:val="24"/>
        </w:rPr>
        <w:t>5</w:t>
      </w:r>
      <w:r>
        <w:rPr>
          <w:rFonts w:ascii="黑体" w:eastAsia="黑体" w:hAnsi="黑体" w:hint="eastAsia"/>
          <w:sz w:val="24"/>
          <w:szCs w:val="24"/>
        </w:rPr>
        <w:t>年</w:t>
      </w:r>
      <w:r>
        <w:rPr>
          <w:rFonts w:ascii="黑体" w:eastAsia="黑体" w:hAnsi="黑体"/>
          <w:sz w:val="24"/>
          <w:szCs w:val="24"/>
        </w:rPr>
        <w:t>第</w:t>
      </w:r>
      <w:r w:rsidR="000821B7">
        <w:rPr>
          <w:rFonts w:ascii="黑体" w:eastAsia="黑体" w:hAnsi="黑体" w:hint="eastAsia"/>
          <w:b/>
          <w:bCs/>
          <w:sz w:val="24"/>
          <w:szCs w:val="24"/>
        </w:rPr>
        <w:t>三</w:t>
      </w:r>
      <w:r>
        <w:rPr>
          <w:rFonts w:ascii="黑体" w:eastAsia="黑体" w:hAnsi="黑体"/>
          <w:sz w:val="24"/>
          <w:szCs w:val="24"/>
        </w:rPr>
        <w:t>季</w:t>
      </w:r>
      <w:r w:rsidR="001C3F79">
        <w:rPr>
          <w:rFonts w:ascii="黑体" w:eastAsia="黑体" w:hAnsi="黑体" w:hint="eastAsia"/>
          <w:sz w:val="24"/>
          <w:szCs w:val="24"/>
        </w:rPr>
        <w:t>度</w:t>
      </w:r>
      <w:r>
        <w:rPr>
          <w:rFonts w:ascii="黑体" w:eastAsia="黑体" w:hAnsi="黑体"/>
          <w:sz w:val="24"/>
          <w:szCs w:val="24"/>
        </w:rPr>
        <w:t>，我行</w:t>
      </w:r>
      <w:r>
        <w:rPr>
          <w:rFonts w:ascii="黑体" w:eastAsia="黑体" w:hAnsi="黑体" w:hint="eastAsia"/>
          <w:sz w:val="24"/>
          <w:szCs w:val="24"/>
        </w:rPr>
        <w:t>一般</w:t>
      </w:r>
      <w:r>
        <w:rPr>
          <w:rFonts w:ascii="黑体" w:eastAsia="黑体" w:hAnsi="黑体"/>
          <w:sz w:val="24"/>
          <w:szCs w:val="24"/>
        </w:rPr>
        <w:t>关联交易对象主要为</w:t>
      </w:r>
      <w:r w:rsidR="00B063B1" w:rsidRPr="00E75252">
        <w:rPr>
          <w:rFonts w:ascii="黑体" w:eastAsia="黑体" w:hAnsi="黑体" w:hint="eastAsia"/>
          <w:sz w:val="24"/>
          <w:szCs w:val="24"/>
        </w:rPr>
        <w:t>玉山商业银行股份有限公司（以下简称</w:t>
      </w:r>
      <w:r w:rsidR="00B063B1" w:rsidRPr="00E75252">
        <w:rPr>
          <w:rFonts w:ascii="黑体" w:eastAsia="黑体" w:hAnsi="黑体"/>
          <w:sz w:val="24"/>
          <w:szCs w:val="24"/>
        </w:rPr>
        <w:t>“</w:t>
      </w:r>
      <w:r w:rsidR="00B063B1" w:rsidRPr="00E75252">
        <w:rPr>
          <w:rFonts w:ascii="黑体" w:eastAsia="黑体" w:hAnsi="黑体" w:hint="eastAsia"/>
          <w:sz w:val="24"/>
          <w:szCs w:val="24"/>
        </w:rPr>
        <w:t>母行</w:t>
      </w:r>
      <w:r w:rsidR="00B063B1" w:rsidRPr="00E75252">
        <w:rPr>
          <w:rFonts w:ascii="黑体" w:eastAsia="黑体" w:hAnsi="黑体"/>
          <w:sz w:val="24"/>
          <w:szCs w:val="24"/>
        </w:rPr>
        <w:t>”</w:t>
      </w:r>
      <w:r w:rsidR="00B063B1" w:rsidRPr="00E75252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、</w:t>
      </w:r>
      <w:r w:rsidRPr="00581D18">
        <w:rPr>
          <w:rFonts w:ascii="黑体" w:eastAsia="黑体" w:hAnsi="黑体" w:hint="eastAsia"/>
          <w:sz w:val="24"/>
          <w:szCs w:val="24"/>
        </w:rPr>
        <w:t>员工</w:t>
      </w:r>
      <w:r w:rsidR="00BA2548" w:rsidRPr="00581D18">
        <w:rPr>
          <w:rFonts w:ascii="黑体" w:eastAsia="黑体" w:hAnsi="黑体" w:hint="eastAsia"/>
          <w:sz w:val="24"/>
          <w:szCs w:val="24"/>
        </w:rPr>
        <w:t>及</w:t>
      </w:r>
      <w:r w:rsidR="00BA2548" w:rsidRPr="00581D18">
        <w:rPr>
          <w:rFonts w:ascii="黑体" w:eastAsia="黑体" w:hAnsi="黑体"/>
          <w:sz w:val="24"/>
          <w:szCs w:val="24"/>
        </w:rPr>
        <w:t>其</w:t>
      </w:r>
      <w:r w:rsidR="00581D18" w:rsidRPr="00581D18">
        <w:rPr>
          <w:rFonts w:ascii="黑体" w:eastAsia="黑体" w:hAnsi="黑体" w:hint="eastAsia"/>
          <w:sz w:val="24"/>
          <w:szCs w:val="24"/>
        </w:rPr>
        <w:t>应纳入</w:t>
      </w:r>
      <w:r w:rsidR="00581D18" w:rsidRPr="00581D18">
        <w:rPr>
          <w:rFonts w:ascii="黑体" w:eastAsia="黑体" w:hAnsi="黑体"/>
          <w:sz w:val="24"/>
          <w:szCs w:val="24"/>
        </w:rPr>
        <w:t>关联</w:t>
      </w:r>
      <w:r w:rsidR="00581D18" w:rsidRPr="00581D18">
        <w:rPr>
          <w:rFonts w:ascii="黑体" w:eastAsia="黑体" w:hAnsi="黑体" w:hint="eastAsia"/>
          <w:sz w:val="24"/>
          <w:szCs w:val="24"/>
        </w:rPr>
        <w:t>方</w:t>
      </w:r>
      <w:r w:rsidR="00581D18" w:rsidRPr="00581D18">
        <w:rPr>
          <w:rFonts w:ascii="黑体" w:eastAsia="黑体" w:hAnsi="黑体"/>
          <w:sz w:val="24"/>
          <w:szCs w:val="24"/>
        </w:rPr>
        <w:t>管理的关系密切的</w:t>
      </w:r>
      <w:r w:rsidR="00B31890" w:rsidRPr="00581D18">
        <w:rPr>
          <w:rFonts w:ascii="黑体" w:eastAsia="黑体" w:hAnsi="黑体" w:hint="eastAsia"/>
          <w:sz w:val="24"/>
          <w:szCs w:val="24"/>
        </w:rPr>
        <w:t>家庭成员</w:t>
      </w:r>
      <w:r>
        <w:rPr>
          <w:rFonts w:ascii="黑体" w:eastAsia="黑体" w:hAnsi="黑体" w:hint="eastAsia"/>
          <w:sz w:val="24"/>
          <w:szCs w:val="24"/>
        </w:rPr>
        <w:t>，</w:t>
      </w:r>
      <w:r w:rsidR="00BA2548">
        <w:rPr>
          <w:rFonts w:ascii="黑体" w:eastAsia="黑体" w:hAnsi="黑体" w:hint="eastAsia"/>
          <w:sz w:val="24"/>
          <w:szCs w:val="24"/>
        </w:rPr>
        <w:t>关联</w:t>
      </w:r>
      <w:r>
        <w:rPr>
          <w:rFonts w:ascii="黑体" w:eastAsia="黑体" w:hAnsi="黑体" w:hint="eastAsia"/>
          <w:sz w:val="24"/>
          <w:szCs w:val="24"/>
        </w:rPr>
        <w:t>交易类型</w:t>
      </w:r>
      <w:r>
        <w:rPr>
          <w:rFonts w:ascii="黑体" w:eastAsia="黑体" w:hAnsi="黑体"/>
          <w:sz w:val="24"/>
          <w:szCs w:val="24"/>
        </w:rPr>
        <w:t>分别为</w:t>
      </w:r>
      <w:r w:rsidR="00B31890" w:rsidRPr="00B31890">
        <w:rPr>
          <w:rFonts w:ascii="黑体" w:eastAsia="黑体" w:hAnsi="黑体" w:hint="eastAsia"/>
          <w:sz w:val="24"/>
          <w:szCs w:val="24"/>
        </w:rPr>
        <w:t>授信类关联交易</w:t>
      </w:r>
      <w:r w:rsidR="00B31890">
        <w:rPr>
          <w:rFonts w:ascii="黑体" w:eastAsia="黑体" w:hAnsi="黑体" w:hint="eastAsia"/>
          <w:sz w:val="24"/>
          <w:szCs w:val="24"/>
        </w:rPr>
        <w:t>、</w:t>
      </w:r>
      <w:r w:rsidR="00B31890" w:rsidRPr="00B31890">
        <w:rPr>
          <w:rFonts w:ascii="黑体" w:eastAsia="黑体" w:hAnsi="黑体" w:hint="eastAsia"/>
          <w:sz w:val="24"/>
          <w:szCs w:val="24"/>
        </w:rPr>
        <w:t>存款和其他类型关联交易</w:t>
      </w:r>
      <w:r>
        <w:rPr>
          <w:rFonts w:ascii="黑体" w:eastAsia="黑体" w:hAnsi="黑体" w:hint="eastAsia"/>
          <w:sz w:val="24"/>
          <w:szCs w:val="24"/>
        </w:rPr>
        <w:t>。</w:t>
      </w:r>
    </w:p>
    <w:p w14:paraId="405BB67E" w14:textId="6E87E0C2" w:rsidR="00A603E0" w:rsidRPr="00E75252" w:rsidRDefault="00A603E0" w:rsidP="00C060A5">
      <w:pPr>
        <w:adjustRightInd w:val="0"/>
        <w:snapToGrid w:val="0"/>
        <w:ind w:firstLineChars="200" w:firstLine="482"/>
        <w:rPr>
          <w:rFonts w:ascii="黑体" w:eastAsia="黑体" w:hAnsi="黑体"/>
          <w:sz w:val="24"/>
          <w:szCs w:val="24"/>
        </w:rPr>
      </w:pPr>
      <w:r w:rsidRPr="00E75252">
        <w:rPr>
          <w:rFonts w:ascii="黑体" w:eastAsia="黑体" w:hAnsi="黑体" w:hint="eastAsia"/>
          <w:b/>
          <w:bCs/>
          <w:sz w:val="24"/>
          <w:szCs w:val="24"/>
        </w:rPr>
        <w:t>二、</w:t>
      </w:r>
      <w:r w:rsidR="002B7B72" w:rsidRPr="00E75252">
        <w:rPr>
          <w:rFonts w:ascii="黑体" w:eastAsia="黑体" w:hAnsi="黑体" w:hint="eastAsia"/>
          <w:b/>
          <w:bCs/>
          <w:sz w:val="24"/>
          <w:szCs w:val="24"/>
        </w:rPr>
        <w:t>关联交易金额及监管比例执行情况</w:t>
      </w:r>
    </w:p>
    <w:p w14:paraId="64CE84AB" w14:textId="39976008" w:rsidR="00B063B1" w:rsidRPr="006B61C6" w:rsidRDefault="001C75E8" w:rsidP="00C060A5">
      <w:pPr>
        <w:adjustRightInd w:val="0"/>
        <w:snapToGrid w:val="0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202</w:t>
      </w:r>
      <w:r>
        <w:rPr>
          <w:rFonts w:ascii="黑体" w:eastAsia="黑体" w:hAnsi="黑体"/>
          <w:sz w:val="24"/>
          <w:szCs w:val="24"/>
        </w:rPr>
        <w:t>5</w:t>
      </w:r>
      <w:r>
        <w:rPr>
          <w:rFonts w:ascii="黑体" w:eastAsia="黑体" w:hAnsi="黑体" w:hint="eastAsia"/>
          <w:sz w:val="24"/>
          <w:szCs w:val="24"/>
        </w:rPr>
        <w:t>年</w:t>
      </w:r>
      <w:r>
        <w:rPr>
          <w:rFonts w:ascii="黑体" w:eastAsia="黑体" w:hAnsi="黑体"/>
          <w:sz w:val="24"/>
          <w:szCs w:val="24"/>
        </w:rPr>
        <w:t>第</w:t>
      </w:r>
      <w:r w:rsidR="000821B7">
        <w:rPr>
          <w:rFonts w:ascii="黑体" w:eastAsia="黑体" w:hAnsi="黑体" w:hint="eastAsia"/>
          <w:b/>
          <w:bCs/>
          <w:sz w:val="24"/>
          <w:szCs w:val="24"/>
        </w:rPr>
        <w:t>三</w:t>
      </w:r>
      <w:r>
        <w:rPr>
          <w:rFonts w:ascii="黑体" w:eastAsia="黑体" w:hAnsi="黑体"/>
          <w:sz w:val="24"/>
          <w:szCs w:val="24"/>
        </w:rPr>
        <w:t>季</w:t>
      </w:r>
      <w:r>
        <w:rPr>
          <w:rFonts w:ascii="黑体" w:eastAsia="黑体" w:hAnsi="黑体" w:hint="eastAsia"/>
          <w:sz w:val="24"/>
          <w:szCs w:val="24"/>
        </w:rPr>
        <w:t>度</w:t>
      </w:r>
      <w:r w:rsidR="002B7B72" w:rsidRPr="00E75252">
        <w:rPr>
          <w:rFonts w:ascii="黑体" w:eastAsia="黑体" w:hAnsi="黑体" w:hint="eastAsia"/>
          <w:sz w:val="24"/>
          <w:szCs w:val="24"/>
        </w:rPr>
        <w:t>，</w:t>
      </w:r>
      <w:r w:rsidR="007E0035">
        <w:rPr>
          <w:rFonts w:ascii="黑体" w:eastAsia="黑体" w:hAnsi="黑体" w:hint="eastAsia"/>
          <w:sz w:val="24"/>
          <w:szCs w:val="24"/>
        </w:rPr>
        <w:t>我</w:t>
      </w:r>
      <w:r w:rsidR="007E0035">
        <w:rPr>
          <w:rFonts w:ascii="黑体" w:eastAsia="黑体" w:hAnsi="黑体"/>
          <w:sz w:val="24"/>
          <w:szCs w:val="24"/>
        </w:rPr>
        <w:t>行</w:t>
      </w:r>
      <w:r w:rsidR="00A31E93" w:rsidRPr="00E75252">
        <w:rPr>
          <w:rFonts w:ascii="黑体" w:eastAsia="黑体" w:hAnsi="黑体"/>
          <w:sz w:val="24"/>
          <w:szCs w:val="24"/>
        </w:rPr>
        <w:t>与</w:t>
      </w:r>
      <w:r w:rsidR="00B063B1" w:rsidRPr="00E75252">
        <w:rPr>
          <w:rFonts w:ascii="黑体" w:eastAsia="黑体" w:hAnsi="黑体" w:hint="eastAsia"/>
          <w:sz w:val="24"/>
          <w:szCs w:val="24"/>
        </w:rPr>
        <w:t>母行</w:t>
      </w:r>
      <w:r w:rsidR="002971C1" w:rsidRPr="002971C1">
        <w:rPr>
          <w:rFonts w:ascii="黑体" w:eastAsia="黑体" w:hAnsi="黑体" w:hint="eastAsia"/>
          <w:sz w:val="24"/>
          <w:szCs w:val="24"/>
        </w:rPr>
        <w:t>授信类关</w:t>
      </w:r>
      <w:r w:rsidR="002971C1" w:rsidRPr="006B61C6">
        <w:rPr>
          <w:rFonts w:ascii="黑体" w:eastAsia="黑体" w:hAnsi="黑体" w:hint="eastAsia"/>
          <w:sz w:val="24"/>
          <w:szCs w:val="24"/>
        </w:rPr>
        <w:t>联交易</w:t>
      </w:r>
      <w:r w:rsidR="00E66265" w:rsidRPr="006B61C6">
        <w:rPr>
          <w:rFonts w:ascii="黑体" w:eastAsia="黑体" w:hAnsi="黑体"/>
          <w:sz w:val="24"/>
          <w:szCs w:val="24"/>
        </w:rPr>
        <w:t>余额为</w:t>
      </w:r>
      <w:r w:rsidR="00ED4A06" w:rsidRPr="006B61C6">
        <w:rPr>
          <w:rFonts w:ascii="黑体" w:eastAsia="黑体" w:hAnsi="黑体" w:hint="eastAsia"/>
          <w:sz w:val="24"/>
          <w:szCs w:val="24"/>
        </w:rPr>
        <w:t>人民币</w:t>
      </w:r>
      <w:r w:rsidR="000821B7" w:rsidRPr="000821B7">
        <w:rPr>
          <w:rFonts w:ascii="黑体" w:eastAsia="黑体" w:hAnsi="黑体"/>
          <w:sz w:val="24"/>
          <w:szCs w:val="24"/>
        </w:rPr>
        <w:t>86,687.10</w:t>
      </w:r>
      <w:r w:rsidR="004F6207" w:rsidRPr="000821B7">
        <w:rPr>
          <w:rFonts w:ascii="黑体" w:eastAsia="黑体" w:hAnsi="黑体" w:hint="eastAsia"/>
          <w:sz w:val="24"/>
          <w:szCs w:val="24"/>
        </w:rPr>
        <w:t>万</w:t>
      </w:r>
      <w:r w:rsidR="004F6207" w:rsidRPr="006B61C6">
        <w:rPr>
          <w:rFonts w:ascii="黑体" w:eastAsia="黑体" w:hAnsi="黑体" w:hint="eastAsia"/>
          <w:sz w:val="24"/>
          <w:szCs w:val="24"/>
        </w:rPr>
        <w:t>元</w:t>
      </w:r>
      <w:r w:rsidR="007E0035" w:rsidRPr="006B61C6">
        <w:rPr>
          <w:rFonts w:ascii="黑体" w:eastAsia="黑体" w:hAnsi="黑体" w:hint="eastAsia"/>
          <w:sz w:val="24"/>
          <w:szCs w:val="24"/>
        </w:rPr>
        <w:t>，</w:t>
      </w:r>
      <w:r w:rsidR="002971C1" w:rsidRPr="006B61C6">
        <w:rPr>
          <w:rFonts w:ascii="黑体" w:eastAsia="黑体" w:hAnsi="黑体" w:hint="eastAsia"/>
          <w:sz w:val="24"/>
          <w:szCs w:val="24"/>
        </w:rPr>
        <w:t>占</w:t>
      </w:r>
      <w:r w:rsidR="00FA5C25">
        <w:rPr>
          <w:rFonts w:ascii="黑体" w:eastAsia="黑体" w:hAnsi="黑体" w:hint="eastAsia"/>
          <w:sz w:val="24"/>
          <w:szCs w:val="24"/>
        </w:rPr>
        <w:t>本</w:t>
      </w:r>
      <w:r w:rsidR="00D469AF">
        <w:rPr>
          <w:rFonts w:ascii="黑体" w:eastAsia="黑体" w:hAnsi="黑体"/>
          <w:sz w:val="24"/>
          <w:szCs w:val="24"/>
        </w:rPr>
        <w:t>季度</w:t>
      </w:r>
      <w:r w:rsidR="002971C1" w:rsidRPr="006B61C6">
        <w:rPr>
          <w:rFonts w:ascii="黑体" w:eastAsia="黑体" w:hAnsi="黑体" w:hint="eastAsia"/>
          <w:sz w:val="24"/>
          <w:szCs w:val="24"/>
        </w:rPr>
        <w:t>末</w:t>
      </w:r>
      <w:r w:rsidR="002971C1" w:rsidRPr="006B61C6">
        <w:rPr>
          <w:rFonts w:ascii="黑体" w:eastAsia="黑体" w:hAnsi="黑体"/>
          <w:sz w:val="24"/>
          <w:szCs w:val="24"/>
        </w:rPr>
        <w:t>资本净额</w:t>
      </w:r>
      <w:r w:rsidR="000867CC">
        <w:rPr>
          <w:rFonts w:ascii="黑体" w:eastAsia="黑体" w:hAnsi="黑体"/>
          <w:sz w:val="24"/>
          <w:szCs w:val="24"/>
        </w:rPr>
        <w:t>32.51</w:t>
      </w:r>
      <w:r w:rsidR="008009F8" w:rsidRPr="008009F8">
        <w:rPr>
          <w:rFonts w:ascii="黑体" w:eastAsia="黑体" w:hAnsi="黑体"/>
          <w:sz w:val="24"/>
          <w:szCs w:val="24"/>
        </w:rPr>
        <w:t>%</w:t>
      </w:r>
      <w:r w:rsidR="00FA5C25">
        <w:rPr>
          <w:rFonts w:ascii="黑体" w:eastAsia="黑体" w:hAnsi="黑体" w:hint="eastAsia"/>
          <w:sz w:val="24"/>
          <w:szCs w:val="24"/>
        </w:rPr>
        <w:t>，</w:t>
      </w:r>
      <w:r w:rsidR="00CB79A8" w:rsidRPr="006B61C6">
        <w:rPr>
          <w:rFonts w:ascii="黑体" w:eastAsia="黑体" w:hAnsi="黑体"/>
          <w:sz w:val="24"/>
          <w:szCs w:val="24"/>
        </w:rPr>
        <w:t>存款</w:t>
      </w:r>
      <w:r w:rsidR="00DF698E" w:rsidRPr="006B61C6">
        <w:rPr>
          <w:rFonts w:ascii="黑体" w:eastAsia="黑体" w:hAnsi="黑体" w:hint="eastAsia"/>
          <w:sz w:val="24"/>
          <w:szCs w:val="24"/>
        </w:rPr>
        <w:t>类</w:t>
      </w:r>
      <w:r w:rsidR="00CB79A8" w:rsidRPr="006B61C6">
        <w:rPr>
          <w:rFonts w:ascii="黑体" w:eastAsia="黑体" w:hAnsi="黑体" w:hint="eastAsia"/>
          <w:sz w:val="24"/>
          <w:szCs w:val="24"/>
        </w:rPr>
        <w:t>关联交易</w:t>
      </w:r>
      <w:r w:rsidR="00DF698E" w:rsidRPr="006B61C6">
        <w:rPr>
          <w:rFonts w:ascii="黑体" w:eastAsia="黑体" w:hAnsi="黑体" w:hint="eastAsia"/>
          <w:sz w:val="24"/>
          <w:szCs w:val="24"/>
        </w:rPr>
        <w:t>（除</w:t>
      </w:r>
      <w:r w:rsidR="00DF698E" w:rsidRPr="006B61C6">
        <w:rPr>
          <w:rFonts w:ascii="黑体" w:eastAsia="黑体" w:hAnsi="黑体"/>
          <w:sz w:val="24"/>
          <w:szCs w:val="24"/>
        </w:rPr>
        <w:t>活期存款</w:t>
      </w:r>
      <w:r w:rsidR="007210F0" w:rsidRPr="006B61C6">
        <w:rPr>
          <w:rFonts w:ascii="黑体" w:eastAsia="黑体" w:hAnsi="黑体" w:hint="eastAsia"/>
          <w:sz w:val="24"/>
          <w:szCs w:val="24"/>
        </w:rPr>
        <w:t>外</w:t>
      </w:r>
      <w:r w:rsidR="00DF698E" w:rsidRPr="006B61C6">
        <w:rPr>
          <w:rFonts w:ascii="黑体" w:eastAsia="黑体" w:hAnsi="黑体"/>
          <w:sz w:val="24"/>
          <w:szCs w:val="24"/>
        </w:rPr>
        <w:t>）</w:t>
      </w:r>
      <w:r w:rsidR="00CB6544">
        <w:rPr>
          <w:rFonts w:ascii="黑体" w:eastAsia="黑体" w:hAnsi="黑体" w:hint="eastAsia"/>
          <w:sz w:val="24"/>
          <w:szCs w:val="24"/>
        </w:rPr>
        <w:t>发生</w:t>
      </w:r>
      <w:r w:rsidR="00CB79A8" w:rsidRPr="006B61C6">
        <w:rPr>
          <w:rFonts w:ascii="黑体" w:eastAsia="黑体" w:hAnsi="黑体"/>
          <w:sz w:val="24"/>
          <w:szCs w:val="24"/>
        </w:rPr>
        <w:t>金额为</w:t>
      </w:r>
      <w:r w:rsidR="00CB79A8" w:rsidRPr="006B61C6">
        <w:rPr>
          <w:rFonts w:ascii="黑体" w:eastAsia="黑体" w:hAnsi="黑体" w:hint="eastAsia"/>
          <w:sz w:val="24"/>
          <w:szCs w:val="24"/>
        </w:rPr>
        <w:t>人民币</w:t>
      </w:r>
      <w:r w:rsidR="000821B7" w:rsidRPr="000821B7">
        <w:rPr>
          <w:rFonts w:ascii="黑体" w:eastAsia="黑体" w:hAnsi="黑体"/>
          <w:sz w:val="24"/>
          <w:szCs w:val="24"/>
        </w:rPr>
        <w:t>1,986.62</w:t>
      </w:r>
      <w:r w:rsidR="00CB79A8" w:rsidRPr="000821B7">
        <w:rPr>
          <w:rFonts w:ascii="黑体" w:eastAsia="黑体" w:hAnsi="黑体" w:hint="eastAsia"/>
          <w:sz w:val="24"/>
          <w:szCs w:val="24"/>
        </w:rPr>
        <w:t>万</w:t>
      </w:r>
      <w:r w:rsidR="00CB79A8" w:rsidRPr="006B61C6">
        <w:rPr>
          <w:rFonts w:ascii="黑体" w:eastAsia="黑体" w:hAnsi="黑体" w:hint="eastAsia"/>
          <w:sz w:val="24"/>
          <w:szCs w:val="24"/>
        </w:rPr>
        <w:t>元，</w:t>
      </w:r>
      <w:r w:rsidR="00ED4A06" w:rsidRPr="006B61C6">
        <w:rPr>
          <w:rFonts w:ascii="黑体" w:eastAsia="黑体" w:hAnsi="黑体" w:hint="eastAsia"/>
          <w:sz w:val="24"/>
          <w:szCs w:val="24"/>
        </w:rPr>
        <w:t>其他类型关联交易</w:t>
      </w:r>
      <w:r w:rsidR="00CB6544">
        <w:rPr>
          <w:rFonts w:ascii="黑体" w:eastAsia="黑体" w:hAnsi="黑体" w:hint="eastAsia"/>
          <w:sz w:val="24"/>
          <w:szCs w:val="24"/>
        </w:rPr>
        <w:t>发生</w:t>
      </w:r>
      <w:r w:rsidR="00CB79A8" w:rsidRPr="006B61C6">
        <w:rPr>
          <w:rFonts w:ascii="黑体" w:eastAsia="黑体" w:hAnsi="黑体"/>
          <w:sz w:val="24"/>
          <w:szCs w:val="24"/>
        </w:rPr>
        <w:t>金</w:t>
      </w:r>
      <w:r w:rsidR="00ED4A06" w:rsidRPr="006B61C6">
        <w:rPr>
          <w:rFonts w:ascii="黑体" w:eastAsia="黑体" w:hAnsi="黑体"/>
          <w:sz w:val="24"/>
          <w:szCs w:val="24"/>
        </w:rPr>
        <w:t>额</w:t>
      </w:r>
      <w:r w:rsidR="009C088D">
        <w:rPr>
          <w:rFonts w:ascii="黑体" w:eastAsia="黑体" w:hAnsi="黑体" w:hint="eastAsia"/>
          <w:sz w:val="24"/>
          <w:szCs w:val="24"/>
        </w:rPr>
        <w:t>为</w:t>
      </w:r>
      <w:r w:rsidR="009C088D" w:rsidRPr="009C088D">
        <w:rPr>
          <w:rFonts w:ascii="黑体" w:eastAsia="黑体" w:hAnsi="黑体"/>
          <w:sz w:val="24"/>
          <w:szCs w:val="24"/>
        </w:rPr>
        <w:t>人</w:t>
      </w:r>
      <w:r w:rsidR="009C088D">
        <w:rPr>
          <w:rFonts w:ascii="黑体" w:eastAsia="黑体" w:hAnsi="黑体" w:hint="eastAsia"/>
          <w:sz w:val="24"/>
          <w:szCs w:val="24"/>
        </w:rPr>
        <w:t>民币</w:t>
      </w:r>
      <w:r w:rsidR="000821B7" w:rsidRPr="000821B7">
        <w:rPr>
          <w:rFonts w:ascii="黑体" w:eastAsia="黑体" w:hAnsi="黑体"/>
          <w:sz w:val="24"/>
          <w:szCs w:val="24"/>
        </w:rPr>
        <w:t>116,408.12</w:t>
      </w:r>
      <w:r w:rsidR="009C088D" w:rsidRPr="000821B7">
        <w:rPr>
          <w:rFonts w:ascii="黑体" w:eastAsia="黑体" w:hAnsi="黑体" w:hint="eastAsia"/>
          <w:sz w:val="24"/>
          <w:szCs w:val="24"/>
        </w:rPr>
        <w:t>万</w:t>
      </w:r>
      <w:r w:rsidR="009C088D">
        <w:rPr>
          <w:rFonts w:ascii="黑体" w:eastAsia="黑体" w:hAnsi="黑体" w:hint="eastAsia"/>
          <w:sz w:val="24"/>
          <w:szCs w:val="24"/>
        </w:rPr>
        <w:t>元</w:t>
      </w:r>
      <w:r w:rsidR="00ED4A06" w:rsidRPr="006B61C6">
        <w:rPr>
          <w:rFonts w:ascii="黑体" w:eastAsia="黑体" w:hAnsi="黑体" w:hint="eastAsia"/>
          <w:sz w:val="24"/>
          <w:szCs w:val="24"/>
        </w:rPr>
        <w:t>。</w:t>
      </w:r>
      <w:r w:rsidR="007E0035" w:rsidRPr="006B61C6">
        <w:rPr>
          <w:rFonts w:ascii="黑体" w:eastAsia="黑体" w:hAnsi="黑体" w:hint="eastAsia"/>
          <w:sz w:val="24"/>
          <w:szCs w:val="24"/>
        </w:rPr>
        <w:t>前述</w:t>
      </w:r>
      <w:r w:rsidR="007E0035" w:rsidRPr="006B61C6">
        <w:rPr>
          <w:rFonts w:ascii="黑体" w:eastAsia="黑体" w:hAnsi="黑体"/>
          <w:sz w:val="24"/>
          <w:szCs w:val="24"/>
        </w:rPr>
        <w:t>关联交易均无</w:t>
      </w:r>
      <w:r w:rsidR="007E0035" w:rsidRPr="006B61C6">
        <w:rPr>
          <w:rFonts w:ascii="黑体" w:eastAsia="黑体" w:hAnsi="黑体" w:hint="eastAsia"/>
          <w:sz w:val="24"/>
          <w:szCs w:val="24"/>
        </w:rPr>
        <w:t>监管</w:t>
      </w:r>
      <w:r w:rsidR="007E0035" w:rsidRPr="006B61C6">
        <w:rPr>
          <w:rFonts w:ascii="黑体" w:eastAsia="黑体" w:hAnsi="黑体"/>
          <w:sz w:val="24"/>
          <w:szCs w:val="24"/>
        </w:rPr>
        <w:t>比例限制</w:t>
      </w:r>
      <w:r w:rsidR="007E0035" w:rsidRPr="006B61C6">
        <w:rPr>
          <w:rFonts w:ascii="黑体" w:eastAsia="黑体" w:hAnsi="黑体" w:hint="eastAsia"/>
          <w:sz w:val="24"/>
          <w:szCs w:val="24"/>
        </w:rPr>
        <w:t>。</w:t>
      </w:r>
    </w:p>
    <w:p w14:paraId="1974CD07" w14:textId="2C285BCD" w:rsidR="00067F45" w:rsidRPr="006B61C6" w:rsidRDefault="007E0035" w:rsidP="00C060A5">
      <w:pPr>
        <w:adjustRightInd w:val="0"/>
        <w:snapToGrid w:val="0"/>
        <w:ind w:firstLineChars="200" w:firstLine="480"/>
        <w:rPr>
          <w:rFonts w:ascii="黑体" w:eastAsia="黑体" w:hAnsi="黑体"/>
          <w:sz w:val="24"/>
          <w:szCs w:val="24"/>
        </w:rPr>
      </w:pPr>
      <w:r w:rsidRPr="006B61C6">
        <w:rPr>
          <w:rFonts w:ascii="黑体" w:eastAsia="黑体" w:hAnsi="黑体" w:hint="eastAsia"/>
          <w:sz w:val="24"/>
          <w:szCs w:val="24"/>
        </w:rPr>
        <w:t>我</w:t>
      </w:r>
      <w:r w:rsidR="002B7B72" w:rsidRPr="006B61C6">
        <w:rPr>
          <w:rFonts w:ascii="黑体" w:eastAsia="黑体" w:hAnsi="黑体" w:hint="eastAsia"/>
          <w:sz w:val="24"/>
          <w:szCs w:val="24"/>
        </w:rPr>
        <w:t>行</w:t>
      </w:r>
      <w:r w:rsidR="002A4E29" w:rsidRPr="006B61C6">
        <w:rPr>
          <w:rFonts w:ascii="黑体" w:eastAsia="黑体" w:hAnsi="黑体" w:hint="eastAsia"/>
          <w:sz w:val="24"/>
          <w:szCs w:val="24"/>
        </w:rPr>
        <w:t>所进行</w:t>
      </w:r>
      <w:r w:rsidR="002A4E29" w:rsidRPr="006B61C6">
        <w:rPr>
          <w:rFonts w:ascii="黑体" w:eastAsia="黑体" w:hAnsi="黑体"/>
          <w:sz w:val="24"/>
          <w:szCs w:val="24"/>
        </w:rPr>
        <w:t>之</w:t>
      </w:r>
      <w:r w:rsidR="002B7B72" w:rsidRPr="006B61C6">
        <w:rPr>
          <w:rFonts w:ascii="黑体" w:eastAsia="黑体" w:hAnsi="黑体" w:hint="eastAsia"/>
          <w:sz w:val="24"/>
          <w:szCs w:val="24"/>
        </w:rPr>
        <w:t>关联交易，</w:t>
      </w:r>
      <w:r w:rsidR="001C3F79" w:rsidRPr="006B61C6">
        <w:rPr>
          <w:rFonts w:ascii="黑体" w:eastAsia="黑体" w:hAnsi="黑体" w:hint="eastAsia"/>
          <w:sz w:val="24"/>
          <w:szCs w:val="24"/>
        </w:rPr>
        <w:t>均</w:t>
      </w:r>
      <w:r w:rsidR="002B7B72" w:rsidRPr="006B61C6">
        <w:rPr>
          <w:rFonts w:ascii="黑体" w:eastAsia="黑体" w:hAnsi="黑体" w:hint="eastAsia"/>
          <w:sz w:val="24"/>
          <w:szCs w:val="24"/>
        </w:rPr>
        <w:t>按照有关法律、法规及</w:t>
      </w:r>
      <w:r w:rsidRPr="006B61C6">
        <w:rPr>
          <w:rFonts w:ascii="黑体" w:eastAsia="黑体" w:hAnsi="黑体" w:hint="eastAsia"/>
          <w:sz w:val="24"/>
          <w:szCs w:val="24"/>
        </w:rPr>
        <w:t>我</w:t>
      </w:r>
      <w:r w:rsidR="002B7B72" w:rsidRPr="006B61C6">
        <w:rPr>
          <w:rFonts w:ascii="黑体" w:eastAsia="黑体" w:hAnsi="黑体" w:hint="eastAsia"/>
          <w:sz w:val="24"/>
          <w:szCs w:val="24"/>
        </w:rPr>
        <w:t>行相关制度</w:t>
      </w:r>
      <w:r w:rsidR="001C3F79" w:rsidRPr="006B61C6">
        <w:rPr>
          <w:rFonts w:ascii="黑体" w:eastAsia="黑体" w:hAnsi="黑体" w:hint="eastAsia"/>
          <w:sz w:val="24"/>
          <w:szCs w:val="24"/>
        </w:rPr>
        <w:t>执行</w:t>
      </w:r>
      <w:r w:rsidR="002B7B72" w:rsidRPr="006B61C6">
        <w:rPr>
          <w:rFonts w:ascii="黑体" w:eastAsia="黑体" w:hAnsi="黑体" w:hint="eastAsia"/>
          <w:sz w:val="24"/>
          <w:szCs w:val="24"/>
        </w:rPr>
        <w:t>，审批程序和定价政策以不优于对非关联方同类交易的条件进行</w:t>
      </w:r>
      <w:r w:rsidR="005D7BEF" w:rsidRPr="006B61C6">
        <w:rPr>
          <w:rFonts w:ascii="黑体" w:eastAsia="黑体" w:hAnsi="黑体" w:hint="eastAsia"/>
          <w:sz w:val="24"/>
          <w:szCs w:val="24"/>
        </w:rPr>
        <w:t>，符合关联</w:t>
      </w:r>
      <w:r w:rsidR="005D7BEF" w:rsidRPr="006B61C6">
        <w:rPr>
          <w:rFonts w:ascii="黑体" w:eastAsia="黑体" w:hAnsi="黑体"/>
          <w:sz w:val="24"/>
          <w:szCs w:val="24"/>
        </w:rPr>
        <w:t>交易</w:t>
      </w:r>
      <w:r w:rsidR="005D7BEF" w:rsidRPr="006B61C6">
        <w:rPr>
          <w:rFonts w:ascii="黑体" w:eastAsia="黑体" w:hAnsi="黑体" w:hint="eastAsia"/>
          <w:sz w:val="24"/>
          <w:szCs w:val="24"/>
        </w:rPr>
        <w:t>的</w:t>
      </w:r>
      <w:r w:rsidR="007210F0" w:rsidRPr="006B61C6">
        <w:rPr>
          <w:rFonts w:ascii="黑体" w:eastAsia="黑体" w:hAnsi="黑体" w:hint="eastAsia"/>
          <w:sz w:val="24"/>
          <w:szCs w:val="24"/>
        </w:rPr>
        <w:t>合规性</w:t>
      </w:r>
      <w:r w:rsidR="007210F0" w:rsidRPr="006B61C6">
        <w:rPr>
          <w:rFonts w:ascii="黑体" w:eastAsia="黑体" w:hAnsi="黑体"/>
          <w:sz w:val="24"/>
          <w:szCs w:val="24"/>
        </w:rPr>
        <w:t>和</w:t>
      </w:r>
      <w:r w:rsidR="007210F0" w:rsidRPr="006B61C6">
        <w:rPr>
          <w:rFonts w:ascii="黑体" w:eastAsia="黑体" w:hAnsi="黑体" w:hint="eastAsia"/>
          <w:sz w:val="24"/>
          <w:szCs w:val="24"/>
        </w:rPr>
        <w:t>公允性要求</w:t>
      </w:r>
      <w:r w:rsidR="002B7B72" w:rsidRPr="006B61C6">
        <w:rPr>
          <w:rFonts w:ascii="黑体" w:eastAsia="黑体" w:hAnsi="黑体" w:hint="eastAsia"/>
          <w:sz w:val="24"/>
          <w:szCs w:val="24"/>
        </w:rPr>
        <w:t>。</w:t>
      </w:r>
      <w:r w:rsidR="002A4E29" w:rsidRPr="006B61C6">
        <w:rPr>
          <w:rFonts w:ascii="黑体" w:eastAsia="黑体" w:hAnsi="黑体" w:hint="eastAsia"/>
          <w:sz w:val="24"/>
          <w:szCs w:val="24"/>
        </w:rPr>
        <w:t>截至202</w:t>
      </w:r>
      <w:r w:rsidR="001C75E8">
        <w:rPr>
          <w:rFonts w:ascii="黑体" w:eastAsia="黑体" w:hAnsi="黑体"/>
          <w:sz w:val="24"/>
          <w:szCs w:val="24"/>
        </w:rPr>
        <w:t>5</w:t>
      </w:r>
      <w:r w:rsidR="002A4E29" w:rsidRPr="006B61C6">
        <w:rPr>
          <w:rFonts w:ascii="黑体" w:eastAsia="黑体" w:hAnsi="黑体" w:hint="eastAsia"/>
          <w:sz w:val="24"/>
          <w:szCs w:val="24"/>
        </w:rPr>
        <w:t>年</w:t>
      </w:r>
      <w:r w:rsidR="002A4E29" w:rsidRPr="006B61C6">
        <w:rPr>
          <w:rFonts w:ascii="黑体" w:eastAsia="黑体" w:hAnsi="黑体"/>
          <w:sz w:val="24"/>
          <w:szCs w:val="24"/>
        </w:rPr>
        <w:t>第</w:t>
      </w:r>
      <w:r w:rsidR="000821B7">
        <w:rPr>
          <w:rFonts w:ascii="黑体" w:eastAsia="黑体" w:hAnsi="黑体" w:hint="eastAsia"/>
          <w:b/>
          <w:bCs/>
          <w:sz w:val="24"/>
          <w:szCs w:val="24"/>
        </w:rPr>
        <w:t>三</w:t>
      </w:r>
      <w:r w:rsidR="002A4E29" w:rsidRPr="006B61C6">
        <w:rPr>
          <w:rFonts w:ascii="黑体" w:eastAsia="黑体" w:hAnsi="黑体"/>
          <w:sz w:val="24"/>
          <w:szCs w:val="24"/>
        </w:rPr>
        <w:t>季度</w:t>
      </w:r>
      <w:r w:rsidR="002A4E29" w:rsidRPr="006B61C6">
        <w:rPr>
          <w:rFonts w:ascii="黑体" w:eastAsia="黑体" w:hAnsi="黑体" w:hint="eastAsia"/>
          <w:sz w:val="24"/>
          <w:szCs w:val="24"/>
        </w:rPr>
        <w:t>末</w:t>
      </w:r>
      <w:r w:rsidR="00C14C3F" w:rsidRPr="006B61C6">
        <w:rPr>
          <w:rFonts w:ascii="黑体" w:eastAsia="黑体" w:hAnsi="黑体" w:hint="eastAsia"/>
          <w:sz w:val="24"/>
          <w:szCs w:val="24"/>
        </w:rPr>
        <w:t>，</w:t>
      </w:r>
      <w:r w:rsidRPr="006B61C6">
        <w:rPr>
          <w:rFonts w:ascii="黑体" w:eastAsia="黑体" w:hAnsi="黑体" w:hint="eastAsia"/>
          <w:sz w:val="24"/>
          <w:szCs w:val="24"/>
        </w:rPr>
        <w:t>我行</w:t>
      </w:r>
      <w:r w:rsidR="002B7B72" w:rsidRPr="006B61C6">
        <w:rPr>
          <w:rFonts w:ascii="黑体" w:eastAsia="黑体" w:hAnsi="黑体" w:hint="eastAsia"/>
          <w:sz w:val="24"/>
          <w:szCs w:val="24"/>
        </w:rPr>
        <w:t>关联交易指标符合监管规定。</w:t>
      </w:r>
    </w:p>
    <w:p w14:paraId="7B5D4A8C" w14:textId="532885FB" w:rsidR="00A603E0" w:rsidRPr="006B61C6" w:rsidRDefault="00A603E0" w:rsidP="00C060A5">
      <w:pPr>
        <w:adjustRightInd w:val="0"/>
        <w:snapToGrid w:val="0"/>
        <w:ind w:firstLineChars="200" w:firstLine="480"/>
        <w:rPr>
          <w:rFonts w:ascii="黑体" w:eastAsia="黑体" w:hAnsi="黑体"/>
          <w:sz w:val="24"/>
          <w:szCs w:val="24"/>
        </w:rPr>
      </w:pPr>
      <w:r w:rsidRPr="006B61C6">
        <w:rPr>
          <w:rFonts w:ascii="黑体" w:eastAsia="黑体" w:hAnsi="黑体" w:hint="eastAsia"/>
          <w:sz w:val="24"/>
          <w:szCs w:val="24"/>
        </w:rPr>
        <w:t>特此公告。</w:t>
      </w:r>
    </w:p>
    <w:p w14:paraId="54A8D762" w14:textId="77777777" w:rsidR="003B555C" w:rsidRPr="00E75252" w:rsidRDefault="003B555C" w:rsidP="00C060A5">
      <w:pPr>
        <w:adjustRightInd w:val="0"/>
        <w:snapToGrid w:val="0"/>
        <w:ind w:firstLineChars="200" w:firstLine="480"/>
        <w:rPr>
          <w:rFonts w:ascii="黑体" w:eastAsia="黑体" w:hAnsi="黑体"/>
          <w:sz w:val="24"/>
          <w:szCs w:val="24"/>
        </w:rPr>
      </w:pPr>
    </w:p>
    <w:p w14:paraId="4501DD5D" w14:textId="77777777" w:rsidR="000C3D37" w:rsidRPr="00E75252" w:rsidRDefault="00A603E0" w:rsidP="00C060A5">
      <w:pPr>
        <w:adjustRightInd w:val="0"/>
        <w:snapToGrid w:val="0"/>
        <w:jc w:val="right"/>
        <w:rPr>
          <w:rFonts w:ascii="黑体" w:eastAsia="黑体" w:hAnsi="黑体"/>
          <w:sz w:val="24"/>
          <w:szCs w:val="24"/>
        </w:rPr>
      </w:pPr>
      <w:r w:rsidRPr="00E75252">
        <w:rPr>
          <w:rFonts w:ascii="Calibri" w:eastAsia="黑体" w:hAnsi="Calibri" w:cs="Calibri"/>
          <w:sz w:val="24"/>
          <w:szCs w:val="24"/>
        </w:rPr>
        <w:t>                    </w:t>
      </w:r>
      <w:r w:rsidR="000C3D37" w:rsidRPr="00E75252">
        <w:rPr>
          <w:rFonts w:ascii="Calibri" w:eastAsia="黑体" w:hAnsi="Calibri" w:cs="Calibri"/>
        </w:rPr>
        <w:t>  </w:t>
      </w:r>
      <w:r w:rsidR="000C3D37" w:rsidRPr="00E75252">
        <w:rPr>
          <w:rFonts w:ascii="黑体" w:eastAsia="黑体" w:hAnsi="黑体" w:hint="eastAsia"/>
          <w:sz w:val="24"/>
          <w:szCs w:val="24"/>
        </w:rPr>
        <w:t>玉山银行（中国）有限公司</w:t>
      </w:r>
    </w:p>
    <w:p w14:paraId="5C8C75DE" w14:textId="3011468F" w:rsidR="00F86FBE" w:rsidRPr="001C799F" w:rsidRDefault="000C3D37" w:rsidP="00C060A5">
      <w:pPr>
        <w:adjustRightInd w:val="0"/>
        <w:snapToGrid w:val="0"/>
        <w:jc w:val="right"/>
        <w:rPr>
          <w:rFonts w:ascii="黑体" w:eastAsia="黑体" w:hAnsi="黑体"/>
          <w:sz w:val="24"/>
          <w:szCs w:val="24"/>
        </w:rPr>
      </w:pPr>
      <w:r w:rsidRPr="00E75252">
        <w:rPr>
          <w:rFonts w:ascii="Calibri" w:eastAsia="黑体" w:hAnsi="Calibri" w:cs="Calibri"/>
          <w:sz w:val="24"/>
          <w:szCs w:val="24"/>
        </w:rPr>
        <w:t>                      </w:t>
      </w:r>
      <w:r w:rsidRPr="00E75252">
        <w:rPr>
          <w:rFonts w:ascii="黑体" w:eastAsia="黑体" w:hAnsi="黑体" w:hint="eastAsia"/>
          <w:sz w:val="24"/>
          <w:szCs w:val="24"/>
        </w:rPr>
        <w:t>202</w:t>
      </w:r>
      <w:r w:rsidR="00BD6BC7">
        <w:rPr>
          <w:rFonts w:ascii="黑体" w:eastAsia="黑体" w:hAnsi="黑体"/>
          <w:sz w:val="24"/>
          <w:szCs w:val="24"/>
        </w:rPr>
        <w:t>5</w:t>
      </w:r>
      <w:r w:rsidRPr="00E75252">
        <w:rPr>
          <w:rFonts w:ascii="黑体" w:eastAsia="黑体" w:hAnsi="黑体" w:hint="eastAsia"/>
          <w:sz w:val="24"/>
          <w:szCs w:val="24"/>
        </w:rPr>
        <w:t>年</w:t>
      </w:r>
      <w:r w:rsidR="000821B7">
        <w:rPr>
          <w:rFonts w:ascii="黑体" w:eastAsia="黑体" w:hAnsi="黑体"/>
          <w:sz w:val="24"/>
          <w:szCs w:val="24"/>
        </w:rPr>
        <w:t>10</w:t>
      </w:r>
      <w:r w:rsidRPr="00E75252">
        <w:rPr>
          <w:rFonts w:ascii="黑体" w:eastAsia="黑体" w:hAnsi="黑体" w:hint="eastAsia"/>
          <w:sz w:val="24"/>
          <w:szCs w:val="24"/>
        </w:rPr>
        <w:t>月</w:t>
      </w:r>
      <w:r w:rsidR="000867CC">
        <w:rPr>
          <w:rFonts w:ascii="黑体" w:eastAsia="黑体" w:hAnsi="黑体"/>
          <w:sz w:val="24"/>
          <w:szCs w:val="24"/>
        </w:rPr>
        <w:t>30</w:t>
      </w:r>
      <w:bookmarkStart w:id="0" w:name="_GoBack"/>
      <w:bookmarkEnd w:id="0"/>
      <w:r w:rsidRPr="00E75252">
        <w:rPr>
          <w:rFonts w:ascii="黑体" w:eastAsia="黑体" w:hAnsi="黑体" w:hint="eastAsia"/>
          <w:sz w:val="24"/>
          <w:szCs w:val="24"/>
        </w:rPr>
        <w:t>日</w:t>
      </w:r>
    </w:p>
    <w:sectPr w:rsidR="00F86FBE" w:rsidRPr="001C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453C" w14:textId="77777777" w:rsidR="00540C97" w:rsidRDefault="00540C97" w:rsidP="003D680B">
      <w:r>
        <w:separator/>
      </w:r>
    </w:p>
  </w:endnote>
  <w:endnote w:type="continuationSeparator" w:id="0">
    <w:p w14:paraId="07B7074B" w14:textId="77777777" w:rsidR="00540C97" w:rsidRDefault="00540C97" w:rsidP="003D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E10FD" w14:textId="77777777" w:rsidR="00540C97" w:rsidRDefault="00540C97" w:rsidP="003D680B">
      <w:r>
        <w:separator/>
      </w:r>
    </w:p>
  </w:footnote>
  <w:footnote w:type="continuationSeparator" w:id="0">
    <w:p w14:paraId="7F4AF333" w14:textId="77777777" w:rsidR="00540C97" w:rsidRDefault="00540C97" w:rsidP="003D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BE"/>
    <w:rsid w:val="0001148E"/>
    <w:rsid w:val="00014EEA"/>
    <w:rsid w:val="00052DD4"/>
    <w:rsid w:val="00067F45"/>
    <w:rsid w:val="000821B7"/>
    <w:rsid w:val="000867CC"/>
    <w:rsid w:val="00097A52"/>
    <w:rsid w:val="000C3D37"/>
    <w:rsid w:val="000F3AF8"/>
    <w:rsid w:val="001037D9"/>
    <w:rsid w:val="001842CC"/>
    <w:rsid w:val="00187035"/>
    <w:rsid w:val="001C3F79"/>
    <w:rsid w:val="001C75E8"/>
    <w:rsid w:val="001C799F"/>
    <w:rsid w:val="001D09F7"/>
    <w:rsid w:val="001F3D37"/>
    <w:rsid w:val="00214948"/>
    <w:rsid w:val="00226175"/>
    <w:rsid w:val="0028507C"/>
    <w:rsid w:val="002971C1"/>
    <w:rsid w:val="002A16C1"/>
    <w:rsid w:val="002A24A5"/>
    <w:rsid w:val="002A4E29"/>
    <w:rsid w:val="002A6658"/>
    <w:rsid w:val="002B7B72"/>
    <w:rsid w:val="002C369A"/>
    <w:rsid w:val="002E6470"/>
    <w:rsid w:val="00312118"/>
    <w:rsid w:val="00390A64"/>
    <w:rsid w:val="003941AB"/>
    <w:rsid w:val="003B555C"/>
    <w:rsid w:val="003C046F"/>
    <w:rsid w:val="003C3E5E"/>
    <w:rsid w:val="003D680B"/>
    <w:rsid w:val="00421019"/>
    <w:rsid w:val="00433C42"/>
    <w:rsid w:val="00472A0C"/>
    <w:rsid w:val="00474653"/>
    <w:rsid w:val="00491034"/>
    <w:rsid w:val="004B2B53"/>
    <w:rsid w:val="004B6DAA"/>
    <w:rsid w:val="004C29A4"/>
    <w:rsid w:val="004C2C3E"/>
    <w:rsid w:val="004D49A4"/>
    <w:rsid w:val="004E4999"/>
    <w:rsid w:val="004F6207"/>
    <w:rsid w:val="00540C97"/>
    <w:rsid w:val="005576E1"/>
    <w:rsid w:val="00581D18"/>
    <w:rsid w:val="005A7DCF"/>
    <w:rsid w:val="005B3343"/>
    <w:rsid w:val="005B5CEE"/>
    <w:rsid w:val="005D13CE"/>
    <w:rsid w:val="005D7BEF"/>
    <w:rsid w:val="006126CF"/>
    <w:rsid w:val="00613F7D"/>
    <w:rsid w:val="00633DA3"/>
    <w:rsid w:val="00641D7C"/>
    <w:rsid w:val="00662821"/>
    <w:rsid w:val="00666FC0"/>
    <w:rsid w:val="00690E93"/>
    <w:rsid w:val="006B61C6"/>
    <w:rsid w:val="006C57BF"/>
    <w:rsid w:val="00711979"/>
    <w:rsid w:val="007210F0"/>
    <w:rsid w:val="007D2842"/>
    <w:rsid w:val="007E0035"/>
    <w:rsid w:val="008009F8"/>
    <w:rsid w:val="00802CFD"/>
    <w:rsid w:val="008042B0"/>
    <w:rsid w:val="00811925"/>
    <w:rsid w:val="008323A4"/>
    <w:rsid w:val="00833096"/>
    <w:rsid w:val="008735F1"/>
    <w:rsid w:val="008A2B66"/>
    <w:rsid w:val="009262A9"/>
    <w:rsid w:val="009506A8"/>
    <w:rsid w:val="0097340D"/>
    <w:rsid w:val="00975FA1"/>
    <w:rsid w:val="009931B0"/>
    <w:rsid w:val="009C088D"/>
    <w:rsid w:val="00A1562E"/>
    <w:rsid w:val="00A31E93"/>
    <w:rsid w:val="00A36DA9"/>
    <w:rsid w:val="00A603E0"/>
    <w:rsid w:val="00AB4FEC"/>
    <w:rsid w:val="00B00DAD"/>
    <w:rsid w:val="00B01F64"/>
    <w:rsid w:val="00B063B1"/>
    <w:rsid w:val="00B31890"/>
    <w:rsid w:val="00B8201E"/>
    <w:rsid w:val="00BA2548"/>
    <w:rsid w:val="00BB67AF"/>
    <w:rsid w:val="00BD6BC7"/>
    <w:rsid w:val="00BE2793"/>
    <w:rsid w:val="00C03953"/>
    <w:rsid w:val="00C053DC"/>
    <w:rsid w:val="00C060A5"/>
    <w:rsid w:val="00C14C3F"/>
    <w:rsid w:val="00C54649"/>
    <w:rsid w:val="00C65852"/>
    <w:rsid w:val="00C751DC"/>
    <w:rsid w:val="00CB6544"/>
    <w:rsid w:val="00CB79A8"/>
    <w:rsid w:val="00CC47B0"/>
    <w:rsid w:val="00D178A5"/>
    <w:rsid w:val="00D469AF"/>
    <w:rsid w:val="00DA296C"/>
    <w:rsid w:val="00DB773B"/>
    <w:rsid w:val="00DF698E"/>
    <w:rsid w:val="00E358C5"/>
    <w:rsid w:val="00E47C70"/>
    <w:rsid w:val="00E5190B"/>
    <w:rsid w:val="00E66265"/>
    <w:rsid w:val="00E74235"/>
    <w:rsid w:val="00E75252"/>
    <w:rsid w:val="00EA0F1E"/>
    <w:rsid w:val="00ED4A06"/>
    <w:rsid w:val="00EE080A"/>
    <w:rsid w:val="00EE5DB9"/>
    <w:rsid w:val="00F00521"/>
    <w:rsid w:val="00F13EF7"/>
    <w:rsid w:val="00F30F34"/>
    <w:rsid w:val="00F5411B"/>
    <w:rsid w:val="00F648C0"/>
    <w:rsid w:val="00F86FBE"/>
    <w:rsid w:val="00F94C1F"/>
    <w:rsid w:val="00FA0DBC"/>
    <w:rsid w:val="00FA5C25"/>
    <w:rsid w:val="00FB53A9"/>
    <w:rsid w:val="00FD40BB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060239B"/>
  <w15:chartTrackingRefBased/>
  <w15:docId w15:val="{CB0F2BB6-AE1D-403A-B84C-A0E53AEC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F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BE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D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8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8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79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799F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B67A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B67A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B67AF"/>
  </w:style>
  <w:style w:type="paragraph" w:styleId="ac">
    <w:name w:val="annotation subject"/>
    <w:basedOn w:val="aa"/>
    <w:next w:val="aa"/>
    <w:link w:val="ad"/>
    <w:uiPriority w:val="99"/>
    <w:semiHidden/>
    <w:unhideWhenUsed/>
    <w:rsid w:val="00BB67A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B67AF"/>
    <w:rPr>
      <w:b/>
      <w:bCs/>
    </w:rPr>
  </w:style>
  <w:style w:type="paragraph" w:styleId="ae">
    <w:name w:val="List Paragraph"/>
    <w:basedOn w:val="a"/>
    <w:uiPriority w:val="34"/>
    <w:qFormat/>
    <w:rsid w:val="00A31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A652-65BB-41C5-9673-21FB7558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479</Characters>
  <Application>Microsoft Office Word</Application>
  <DocSecurity>0</DocSecurity>
  <Lines>3</Lines>
  <Paragraphs>1</Paragraphs>
  <ScaleCrop>false</ScaleCrop>
  <Company>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侯锦涛</cp:lastModifiedBy>
  <cp:revision>8</cp:revision>
  <cp:lastPrinted>2024-07-17T06:37:00Z</cp:lastPrinted>
  <dcterms:created xsi:type="dcterms:W3CDTF">2025-04-24T09:38:00Z</dcterms:created>
  <dcterms:modified xsi:type="dcterms:W3CDTF">2025-10-30T07:15:00Z</dcterms:modified>
</cp:coreProperties>
</file>